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3553D5" w14:textId="4A7D8617" w:rsidR="002E0807" w:rsidRPr="00C32A1D" w:rsidRDefault="002E0807" w:rsidP="00C32A1D">
      <w:pPr>
        <w:jc w:val="center"/>
        <w:rPr>
          <w:b/>
          <w:bCs/>
        </w:rPr>
      </w:pPr>
      <w:bookmarkStart w:id="0" w:name="_GoBack"/>
      <w:bookmarkEnd w:id="0"/>
      <w:r w:rsidRPr="00C32A1D">
        <w:rPr>
          <w:b/>
          <w:bCs/>
        </w:rPr>
        <w:t xml:space="preserve">Greenhouse </w:t>
      </w:r>
      <w:r w:rsidR="00C32A1D" w:rsidRPr="00C32A1D">
        <w:rPr>
          <w:b/>
          <w:bCs/>
        </w:rPr>
        <w:t>Gas Emissions Reduction Opportunities for Concrete Pavements</w:t>
      </w:r>
    </w:p>
    <w:p w14:paraId="65DDE03A" w14:textId="3534BE20" w:rsidR="002E0807" w:rsidRPr="00C32A1D" w:rsidRDefault="002E0807" w:rsidP="00C32A1D">
      <w:r w:rsidRPr="00C32A1D">
        <w:t xml:space="preserve">Greenhouse gases are </w:t>
      </w:r>
      <w:r w:rsidR="00C32A1D">
        <w:t>those</w:t>
      </w:r>
      <w:r w:rsidRPr="00C32A1D">
        <w:t xml:space="preserve"> that absorb and emit radiant gases within the thermal infrared range and c</w:t>
      </w:r>
      <w:r w:rsidR="00392C72" w:rsidRPr="00C32A1D">
        <w:t>an emanate from the building</w:t>
      </w:r>
      <w:r w:rsidRPr="00C32A1D">
        <w:t xml:space="preserve"> and </w:t>
      </w:r>
      <w:r w:rsidR="00392C72" w:rsidRPr="00C32A1D">
        <w:t>daily control</w:t>
      </w:r>
      <w:r w:rsidRPr="00C32A1D">
        <w:t xml:space="preserve"> of pavements. GHGs releases during the process of construction and maintenance of the roadway system. According to the survey conducted by the United State Geological Survey (USGS), it shows that 460 million metric tons of crushed aggregate go into </w:t>
      </w:r>
      <w:r w:rsidR="00392C72" w:rsidRPr="00C32A1D">
        <w:t>the construction, repairs</w:t>
      </w:r>
      <w:r w:rsidRPr="00C32A1D">
        <w:t xml:space="preserve"> and maintenance of the U.S pavement network (U</w:t>
      </w:r>
      <w:r w:rsidR="00C32A1D" w:rsidRPr="00C32A1D">
        <w:t>S</w:t>
      </w:r>
      <w:r w:rsidRPr="00C32A1D">
        <w:t>GS, 2011). The usage of this road system and materials used to service them has caused a notable increase in GHGs.</w:t>
      </w:r>
    </w:p>
    <w:p w14:paraId="0BF006B6" w14:textId="54684DD6" w:rsidR="002E0807" w:rsidRPr="00C32A1D" w:rsidRDefault="002E0807" w:rsidP="00C32A1D">
      <w:r w:rsidRPr="00C32A1D">
        <w:t>GHGs generates throughout the lifecycle of concrete pavements (Santero, 2013). The life</w:t>
      </w:r>
      <w:r w:rsidR="00392C72" w:rsidRPr="00C32A1D">
        <w:t>cycle starts with the availing</w:t>
      </w:r>
      <w:r w:rsidRPr="00C32A1D">
        <w:t xml:space="preserve"> of the raw materials and then manufacturing of the raw materials. Then it advances to construction, operation and maintenance of the pavement and lastly, the waste management and recycling of the used products in the pavement</w:t>
      </w:r>
      <w:r w:rsidR="00392C72" w:rsidRPr="00C32A1D">
        <w:t>. The central component in most</w:t>
      </w:r>
      <w:r w:rsidRPr="00C32A1D">
        <w:t xml:space="preserve"> construction is concret</w:t>
      </w:r>
      <w:r w:rsidR="00392C72" w:rsidRPr="00C32A1D">
        <w:t>e which is the 2nd most used commodity o</w:t>
      </w:r>
      <w:r w:rsidRPr="00C32A1D">
        <w:t xml:space="preserve">n </w:t>
      </w:r>
      <w:r w:rsidR="0078357D" w:rsidRPr="00C32A1D">
        <w:t xml:space="preserve">earth </w:t>
      </w:r>
      <w:r w:rsidR="0078357D">
        <w:t xml:space="preserve">(Hertwich, 2019) </w:t>
      </w:r>
      <w:r w:rsidRPr="00C32A1D">
        <w:t>and its critical input elem</w:t>
      </w:r>
      <w:r w:rsidR="00392C72" w:rsidRPr="00C32A1D">
        <w:t>ent is the cement which is responsible</w:t>
      </w:r>
      <w:r w:rsidRPr="00C32A1D">
        <w:t xml:space="preserve"> for</w:t>
      </w:r>
      <w:r w:rsidR="00392C72" w:rsidRPr="00C32A1D">
        <w:t xml:space="preserve"> </w:t>
      </w:r>
      <w:r w:rsidR="0078357D" w:rsidRPr="00C32A1D">
        <w:t>around 6</w:t>
      </w:r>
      <w:r w:rsidRPr="00C32A1D">
        <w:t>% of all CO2</w:t>
      </w:r>
      <w:r w:rsidR="00392C72" w:rsidRPr="00C32A1D">
        <w:t xml:space="preserve"> emitted by mans’</w:t>
      </w:r>
      <w:r w:rsidRPr="00C32A1D">
        <w:t xml:space="preserve"> activities according to (Rodrigues and Joekes, 2011)</w:t>
      </w:r>
    </w:p>
    <w:p w14:paraId="123E2E57" w14:textId="6B4448B0" w:rsidR="002E0807" w:rsidRPr="00C32A1D" w:rsidRDefault="002E0807" w:rsidP="00C32A1D">
      <w:r w:rsidRPr="00C32A1D">
        <w:t>The GHGs from the concrete pavement can be reduced only by a clear understanding of their impact and contribution to global warming. Acceptance of less carbon to a zero-carbon mode of operation should put into play to achieve a reduction in GHGs. The general construction sector e</w:t>
      </w:r>
      <w:r w:rsidR="00392C72" w:rsidRPr="00C32A1D">
        <w:t>xperienced an emission downscale</w:t>
      </w:r>
      <w:r w:rsidRPr="00C32A1D">
        <w:t xml:space="preserve"> in 20</w:t>
      </w:r>
      <w:r w:rsidR="00392C72" w:rsidRPr="00C32A1D">
        <w:t xml:space="preserve">09 of 17% compared to the 1990 </w:t>
      </w:r>
      <w:r w:rsidR="000D37EF" w:rsidRPr="00C32A1D">
        <w:t>report</w:t>
      </w:r>
      <w:r w:rsidR="00C32A1D">
        <w:t>,</w:t>
      </w:r>
      <w:r w:rsidR="000D37EF" w:rsidRPr="00C32A1D">
        <w:t xml:space="preserve"> which is 39% below the 2025 ambitions </w:t>
      </w:r>
      <w:r w:rsidR="0078357D">
        <w:t>(Hertwich, 2019)</w:t>
      </w:r>
      <w:r w:rsidRPr="00C32A1D">
        <w:t xml:space="preserve">. </w:t>
      </w:r>
      <w:r w:rsidR="0078357D" w:rsidRPr="00C32A1D">
        <w:t>Therefore,</w:t>
      </w:r>
      <w:r w:rsidRPr="00C32A1D">
        <w:t xml:space="preserve"> concrete pavement can be of much in line with this goal as it offers </w:t>
      </w:r>
      <w:r w:rsidR="00C32A1D">
        <w:t>many</w:t>
      </w:r>
      <w:r w:rsidRPr="00C32A1D">
        <w:t xml:space="preserve"> opportunities for GHGs reduction. We can look at four approaches applied to concrete pavements.</w:t>
      </w:r>
    </w:p>
    <w:p w14:paraId="76847840" w14:textId="77777777" w:rsidR="002E0807" w:rsidRPr="00C32A1D" w:rsidRDefault="002E0807" w:rsidP="00C32A1D">
      <w:r w:rsidRPr="00C32A1D">
        <w:lastRenderedPageBreak/>
        <w:t xml:space="preserve">Embodied emissions are those released at initial stages of construction; this is during manufacturing, processing and construction of paving materials. These emissions releases during the inception of the pavement and its maintenance. They can be reduced through the use of fewer natural resources and </w:t>
      </w:r>
      <w:r w:rsidR="000D37EF" w:rsidRPr="00C32A1D">
        <w:t>exchanging them with lower</w:t>
      </w:r>
      <w:r w:rsidRPr="00C32A1D">
        <w:t xml:space="preserve"> emission-intensive materials. Moreover, the reduction can be improved through the use of fly ash to replace cement. If you increase fly ash usage from 10% to 30% shows a strategy in emission reduction, the 30% replacement of cement by fly ash is based on the survey by DOT practices (ACPA, 2011).</w:t>
      </w:r>
    </w:p>
    <w:p w14:paraId="53061560" w14:textId="4CC619C7" w:rsidR="002E0807" w:rsidRPr="00C32A1D" w:rsidRDefault="002E0807" w:rsidP="00C32A1D">
      <w:r w:rsidRPr="00C32A1D">
        <w:t>Albedo is the measure of how much solar that reaches the pavement surface is reflected back and not absorbed. Increment of albedo decreases the climate from urban heat and direct radiative forcing. Use of white aggregate in pavement</w:t>
      </w:r>
      <w:r w:rsidR="00C32A1D">
        <w:t xml:space="preserve"> </w:t>
      </w:r>
      <w:r w:rsidRPr="00C32A1D">
        <w:t>increases the albedo, which increases reflectivity hence reduction in light demand.</w:t>
      </w:r>
    </w:p>
    <w:p w14:paraId="2B6EF3E5" w14:textId="14B640E1" w:rsidR="002E0807" w:rsidRPr="00C32A1D" w:rsidRDefault="002E0807" w:rsidP="00C32A1D">
      <w:r w:rsidRPr="00C32A1D">
        <w:t>Carbonation is the chemical process in which carbon is sequestered in the concrete. Carbonation in any pavement surface is very minimal and can only penetrate a few centimeters; thus, only a fraction of CO2 releases during calcinations. Carbonation increases when more concrete is crushed, and this happens with long duration of usage of the pavement. Reduction of this occurs through recycling of the concrete aggregates at the end of their lifecycles which carbon sequestration through EOL waste concrete management system. (Doodo</w:t>
      </w:r>
      <w:r w:rsidR="0078357D">
        <w:t xml:space="preserve"> et. al</w:t>
      </w:r>
      <w:r w:rsidRPr="00C32A1D">
        <w:t>, 2009)</w:t>
      </w:r>
    </w:p>
    <w:p w14:paraId="5A8F60DF" w14:textId="4C0A4CD3" w:rsidR="000D37EF" w:rsidRPr="00C32A1D" w:rsidRDefault="002E0807" w:rsidP="00C32A1D">
      <w:r w:rsidRPr="00C32A1D">
        <w:t>Vehicle fuel consumption might be affected by choice of pavement design, materials and maintenance. The fuel used by a vehicle is determined by its interaction with the pavement surface and traffic on it. Many vehicles</w:t>
      </w:r>
      <w:r w:rsidR="00C32A1D">
        <w:t>,</w:t>
      </w:r>
      <w:r w:rsidRPr="00C32A1D">
        <w:t xml:space="preserve"> travelling on a surface that offer</w:t>
      </w:r>
      <w:r w:rsidR="00C32A1D">
        <w:t>s</w:t>
      </w:r>
      <w:r w:rsidRPr="00C32A1D">
        <w:t xml:space="preserve"> little fuel economy improvement decrease GHGs emissions significantly. Also, the addition of rehabi</w:t>
      </w:r>
      <w:r w:rsidR="000D37EF" w:rsidRPr="00C32A1D">
        <w:t xml:space="preserve">litation to a surface after </w:t>
      </w:r>
      <w:r w:rsidR="00C32A1D">
        <w:t>ten</w:t>
      </w:r>
      <w:r w:rsidR="000D37EF" w:rsidRPr="00C32A1D">
        <w:t xml:space="preserve"> years decreases fuel consumption </w:t>
      </w:r>
      <w:r w:rsidR="00C32A1D">
        <w:t>by</w:t>
      </w:r>
      <w:r w:rsidR="000D37EF" w:rsidRPr="00C32A1D">
        <w:t xml:space="preserve"> provi</w:t>
      </w:r>
      <w:r w:rsidR="00C32A1D">
        <w:t>ding</w:t>
      </w:r>
      <w:r w:rsidR="000D37EF" w:rsidRPr="00C32A1D">
        <w:t xml:space="preserve"> limited bumpy</w:t>
      </w:r>
      <w:r w:rsidRPr="00C32A1D">
        <w:t xml:space="preserve"> rides.</w:t>
      </w:r>
    </w:p>
    <w:p w14:paraId="6EA04431" w14:textId="586701D1" w:rsidR="002E0807" w:rsidRPr="00C32A1D" w:rsidRDefault="002E0807" w:rsidP="00C32A1D">
      <w:r w:rsidRPr="00C32A1D">
        <w:lastRenderedPageBreak/>
        <w:t xml:space="preserve"> These measures are some that can help reduce GHGs emissions in concrete pavements.</w:t>
      </w:r>
      <w:r w:rsidR="000D37EF" w:rsidRPr="00C32A1D">
        <w:t xml:space="preserve"> </w:t>
      </w:r>
      <w:r w:rsidR="001A742C" w:rsidRPr="00C32A1D">
        <w:t>A</w:t>
      </w:r>
      <w:r w:rsidR="000D37EF" w:rsidRPr="00C32A1D">
        <w:t>n in</w:t>
      </w:r>
      <w:r w:rsidR="00C32A1D">
        <w:t>-</w:t>
      </w:r>
      <w:r w:rsidR="000D37EF" w:rsidRPr="00C32A1D">
        <w:t xml:space="preserve">depth analysis </w:t>
      </w:r>
      <w:r w:rsidR="001A742C" w:rsidRPr="00C32A1D">
        <w:t xml:space="preserve">shows </w:t>
      </w:r>
      <w:r w:rsidR="00C32A1D">
        <w:t xml:space="preserve">that </w:t>
      </w:r>
      <w:r w:rsidR="000D37EF" w:rsidRPr="00C32A1D">
        <w:t>th</w:t>
      </w:r>
      <w:r w:rsidR="00C32A1D">
        <w:t>ese</w:t>
      </w:r>
      <w:r w:rsidR="000D37EF" w:rsidRPr="00C32A1D">
        <w:t xml:space="preserve"> measures reduce both cost and effectiveness while increas</w:t>
      </w:r>
      <w:r w:rsidR="00C32A1D">
        <w:t>ing</w:t>
      </w:r>
      <w:r w:rsidR="001A742C" w:rsidRPr="00C32A1D">
        <w:t xml:space="preserve"> efficiency in pavements construction and maintenance.</w:t>
      </w:r>
    </w:p>
    <w:p w14:paraId="3E28C25F" w14:textId="77777777" w:rsidR="00C32A1D" w:rsidRDefault="00C32A1D">
      <w:pPr>
        <w:spacing w:after="200" w:line="276" w:lineRule="auto"/>
      </w:pPr>
      <w:r>
        <w:br w:type="page"/>
      </w:r>
    </w:p>
    <w:p w14:paraId="1564F753" w14:textId="02BD95CE" w:rsidR="002E0807" w:rsidRPr="00C32A1D" w:rsidRDefault="00C32A1D" w:rsidP="00C32A1D">
      <w:pPr>
        <w:jc w:val="center"/>
      </w:pPr>
      <w:r>
        <w:lastRenderedPageBreak/>
        <w:t>References</w:t>
      </w:r>
    </w:p>
    <w:p w14:paraId="53BAA9A4" w14:textId="77777777" w:rsidR="00C32A1D" w:rsidRPr="00C32A1D" w:rsidRDefault="00C32A1D" w:rsidP="00C32A1D">
      <w:r w:rsidRPr="00C32A1D">
        <w:t xml:space="preserve">ACPA (American Concrete Pavement Association). 2011. ACPA Application Library: Agency </w:t>
      </w:r>
      <w:r>
        <w:tab/>
      </w:r>
      <w:r w:rsidRPr="00C32A1D">
        <w:t xml:space="preserve">Practices Explorer. http://1734298.sites.myregisteredsite.com/apps/. Accessed April </w:t>
      </w:r>
      <w:r>
        <w:tab/>
      </w:r>
      <w:r w:rsidRPr="00C32A1D">
        <w:t>2011.</w:t>
      </w:r>
    </w:p>
    <w:p w14:paraId="3B0ACCF3" w14:textId="77777777" w:rsidR="00C32A1D" w:rsidRPr="00C32A1D" w:rsidRDefault="00C32A1D" w:rsidP="00C32A1D">
      <w:r w:rsidRPr="00C32A1D">
        <w:t xml:space="preserve">Dodoo, A., L. Gustavsson, and R. Sathre. 2009. Carbon implications of end-of-life management </w:t>
      </w:r>
      <w:r>
        <w:tab/>
      </w:r>
      <w:r w:rsidRPr="00C32A1D">
        <w:t>of building materials. Resources, Conservation and Recycling 53(5): 276–286.</w:t>
      </w:r>
    </w:p>
    <w:p w14:paraId="28654DFC" w14:textId="62048902" w:rsidR="00C32A1D" w:rsidRDefault="00C32A1D" w:rsidP="00C32A1D">
      <w:r>
        <w:t xml:space="preserve">Edgar G Hertwich1, S. A. (2019). Material efficiency strategies to reducing greenhouse gas </w:t>
      </w:r>
      <w:r>
        <w:tab/>
        <w:t xml:space="preserve">emissions associated with buildings, vehicles, and electronics. Environmental Research </w:t>
      </w:r>
      <w:r>
        <w:tab/>
        <w:t>Letters volume 14 number 4.</w:t>
      </w:r>
    </w:p>
    <w:p w14:paraId="733510E3" w14:textId="77777777" w:rsidR="00C32A1D" w:rsidRPr="00C32A1D" w:rsidRDefault="00C32A1D" w:rsidP="00C32A1D">
      <w:r>
        <w:t xml:space="preserve">Nicholas Santero, A. L. (2013). Greenhouse Gas Emissions Reduction opportunities for concrete </w:t>
      </w:r>
      <w:r>
        <w:tab/>
        <w:t xml:space="preserve">pavements. </w:t>
      </w:r>
      <w:r w:rsidRPr="00C32A1D">
        <w:rPr>
          <w:i/>
          <w:iCs/>
        </w:rPr>
        <w:t xml:space="preserve">Journal </w:t>
      </w:r>
      <w:r>
        <w:rPr>
          <w:i/>
          <w:iCs/>
        </w:rPr>
        <w:t>o</w:t>
      </w:r>
      <w:r w:rsidRPr="00C32A1D">
        <w:rPr>
          <w:i/>
          <w:iCs/>
        </w:rPr>
        <w:t>f Industrial Ecology</w:t>
      </w:r>
      <w:r>
        <w:t>, 859-868.</w:t>
      </w:r>
    </w:p>
    <w:p w14:paraId="55D5BB1E" w14:textId="77777777" w:rsidR="00C32A1D" w:rsidRPr="00C32A1D" w:rsidRDefault="00C32A1D" w:rsidP="00C32A1D">
      <w:r w:rsidRPr="00C32A1D">
        <w:t xml:space="preserve">Rodrigues, F. A., &amp; Joekes, I. (2011). Cement industry: sustainability, challenges and </w:t>
      </w:r>
      <w:r>
        <w:tab/>
      </w:r>
      <w:r w:rsidRPr="00C32A1D">
        <w:t>perspectives. Environmental Chemistry Letters, 9(2), 151-166.</w:t>
      </w:r>
    </w:p>
    <w:p w14:paraId="2890C69F" w14:textId="378A7929" w:rsidR="001A742C" w:rsidRPr="00C32A1D" w:rsidRDefault="00C32A1D" w:rsidP="00C32A1D">
      <w:r w:rsidRPr="00C32A1D">
        <w:t xml:space="preserve">USGS (United States Geological Survey). 2011. 2011 minerals yearbook: Stone, crushed. </w:t>
      </w:r>
      <w:r>
        <w:tab/>
      </w:r>
      <w:hyperlink r:id="rId8" w:history="1">
        <w:r w:rsidRPr="00C622BB">
          <w:rPr>
            <w:rStyle w:val="Hyperlink"/>
          </w:rPr>
          <w:t>http://minerals.usgs.gov/minerals/pubs/commodity/stone_crushed. Accessed July 2013</w:t>
        </w:r>
      </w:hyperlink>
      <w:r w:rsidRPr="00C32A1D">
        <w:t>.</w:t>
      </w:r>
    </w:p>
    <w:sectPr w:rsidR="001A742C" w:rsidRPr="00C32A1D" w:rsidSect="005D3F6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0C9B81" w14:textId="77777777" w:rsidR="000C1716" w:rsidRDefault="000C1716" w:rsidP="00C32A1D">
      <w:r>
        <w:separator/>
      </w:r>
    </w:p>
  </w:endnote>
  <w:endnote w:type="continuationSeparator" w:id="0">
    <w:p w14:paraId="1D2B4D11" w14:textId="77777777" w:rsidR="000C1716" w:rsidRDefault="000C1716" w:rsidP="00C32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71A2D3" w14:textId="77777777" w:rsidR="000C1716" w:rsidRDefault="000C1716" w:rsidP="00C32A1D">
      <w:r>
        <w:separator/>
      </w:r>
    </w:p>
  </w:footnote>
  <w:footnote w:type="continuationSeparator" w:id="0">
    <w:p w14:paraId="241A5B40" w14:textId="77777777" w:rsidR="000C1716" w:rsidRDefault="000C1716" w:rsidP="00C32A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F452A" w14:textId="1201C7F4" w:rsidR="005D3F6E" w:rsidRDefault="00C32A1D" w:rsidP="00C32A1D">
    <w:pPr>
      <w:pStyle w:val="Header"/>
      <w:spacing w:line="480" w:lineRule="auto"/>
    </w:pPr>
    <w:r>
      <w:t>RESPONSE TWO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U0MLc0MzY3NzUyNTVS0lEKTi0uzszPAykwrAUAXVC20SwAAAA="/>
  </w:docVars>
  <w:rsids>
    <w:rsidRoot w:val="00352958"/>
    <w:rsid w:val="000C1716"/>
    <w:rsid w:val="000D37EF"/>
    <w:rsid w:val="000F2250"/>
    <w:rsid w:val="001A742C"/>
    <w:rsid w:val="002E0807"/>
    <w:rsid w:val="002E7E37"/>
    <w:rsid w:val="003110F0"/>
    <w:rsid w:val="00352958"/>
    <w:rsid w:val="00371009"/>
    <w:rsid w:val="00392C72"/>
    <w:rsid w:val="004920F1"/>
    <w:rsid w:val="004F0A9E"/>
    <w:rsid w:val="005432DE"/>
    <w:rsid w:val="005D3F6E"/>
    <w:rsid w:val="00630168"/>
    <w:rsid w:val="00650F9A"/>
    <w:rsid w:val="006638D3"/>
    <w:rsid w:val="006F35D4"/>
    <w:rsid w:val="007157E7"/>
    <w:rsid w:val="0078357D"/>
    <w:rsid w:val="007A417A"/>
    <w:rsid w:val="007D5A29"/>
    <w:rsid w:val="00810A36"/>
    <w:rsid w:val="00825B4E"/>
    <w:rsid w:val="00867F1F"/>
    <w:rsid w:val="008E64C8"/>
    <w:rsid w:val="009079FD"/>
    <w:rsid w:val="00914BD4"/>
    <w:rsid w:val="00B132D3"/>
    <w:rsid w:val="00B405C0"/>
    <w:rsid w:val="00BF554A"/>
    <w:rsid w:val="00C32A1D"/>
    <w:rsid w:val="00C82CE6"/>
    <w:rsid w:val="00C96794"/>
    <w:rsid w:val="00CB2247"/>
    <w:rsid w:val="00D15238"/>
    <w:rsid w:val="00DD34FB"/>
    <w:rsid w:val="00E12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3D1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A1D"/>
    <w:pPr>
      <w:spacing w:after="0" w:line="480" w:lineRule="auto"/>
    </w:pPr>
    <w:rPr>
      <w:rFonts w:ascii="Times New Roman" w:eastAsia="Times New Roman" w:hAnsi="Times New Roman" w:cs="Times New Roman"/>
      <w:color w:val="0E101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5A2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5A29"/>
    <w:rPr>
      <w:rFonts w:ascii="Tahoma" w:hAnsi="Tahoma" w:cs="Tahoma"/>
      <w:sz w:val="16"/>
      <w:szCs w:val="16"/>
    </w:rPr>
  </w:style>
  <w:style w:type="paragraph" w:styleId="Bibliography">
    <w:name w:val="Bibliography"/>
    <w:basedOn w:val="Normal"/>
    <w:next w:val="Normal"/>
    <w:uiPriority w:val="37"/>
    <w:unhideWhenUsed/>
    <w:rsid w:val="00825B4E"/>
  </w:style>
  <w:style w:type="paragraph" w:styleId="Header">
    <w:name w:val="header"/>
    <w:basedOn w:val="Normal"/>
    <w:link w:val="HeaderChar"/>
    <w:uiPriority w:val="99"/>
    <w:unhideWhenUsed/>
    <w:rsid w:val="005D3F6E"/>
    <w:pPr>
      <w:tabs>
        <w:tab w:val="center" w:pos="4680"/>
        <w:tab w:val="right" w:pos="9360"/>
      </w:tabs>
      <w:spacing w:line="240" w:lineRule="auto"/>
    </w:pPr>
  </w:style>
  <w:style w:type="character" w:customStyle="1" w:styleId="HeaderChar">
    <w:name w:val="Header Char"/>
    <w:basedOn w:val="DefaultParagraphFont"/>
    <w:link w:val="Header"/>
    <w:uiPriority w:val="99"/>
    <w:rsid w:val="005D3F6E"/>
  </w:style>
  <w:style w:type="paragraph" w:styleId="Footer">
    <w:name w:val="footer"/>
    <w:basedOn w:val="Normal"/>
    <w:link w:val="FooterChar"/>
    <w:uiPriority w:val="99"/>
    <w:unhideWhenUsed/>
    <w:rsid w:val="005D3F6E"/>
    <w:pPr>
      <w:tabs>
        <w:tab w:val="center" w:pos="4680"/>
        <w:tab w:val="right" w:pos="9360"/>
      </w:tabs>
      <w:spacing w:line="240" w:lineRule="auto"/>
    </w:pPr>
  </w:style>
  <w:style w:type="character" w:customStyle="1" w:styleId="FooterChar">
    <w:name w:val="Footer Char"/>
    <w:basedOn w:val="DefaultParagraphFont"/>
    <w:link w:val="Footer"/>
    <w:uiPriority w:val="99"/>
    <w:rsid w:val="005D3F6E"/>
  </w:style>
  <w:style w:type="paragraph" w:styleId="NormalWeb">
    <w:name w:val="Normal (Web)"/>
    <w:basedOn w:val="Normal"/>
    <w:uiPriority w:val="99"/>
    <w:semiHidden/>
    <w:unhideWhenUsed/>
    <w:rsid w:val="002E0807"/>
    <w:pPr>
      <w:spacing w:before="100" w:beforeAutospacing="1" w:after="100" w:afterAutospacing="1" w:line="240" w:lineRule="auto"/>
    </w:pPr>
  </w:style>
  <w:style w:type="character" w:styleId="Emphasis">
    <w:name w:val="Emphasis"/>
    <w:basedOn w:val="DefaultParagraphFont"/>
    <w:uiPriority w:val="20"/>
    <w:qFormat/>
    <w:rsid w:val="002E0807"/>
    <w:rPr>
      <w:i/>
      <w:iCs/>
    </w:rPr>
  </w:style>
  <w:style w:type="character" w:styleId="Hyperlink">
    <w:name w:val="Hyperlink"/>
    <w:basedOn w:val="DefaultParagraphFont"/>
    <w:uiPriority w:val="99"/>
    <w:unhideWhenUsed/>
    <w:rsid w:val="00630168"/>
    <w:rPr>
      <w:color w:val="0000FF" w:themeColor="hyperlink"/>
      <w:u w:val="single"/>
    </w:rPr>
  </w:style>
  <w:style w:type="character" w:customStyle="1" w:styleId="UnresolvedMention">
    <w:name w:val="Unresolved Mention"/>
    <w:basedOn w:val="DefaultParagraphFont"/>
    <w:uiPriority w:val="99"/>
    <w:semiHidden/>
    <w:unhideWhenUsed/>
    <w:rsid w:val="00C32A1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A1D"/>
    <w:pPr>
      <w:spacing w:after="0" w:line="480" w:lineRule="auto"/>
    </w:pPr>
    <w:rPr>
      <w:rFonts w:ascii="Times New Roman" w:eastAsia="Times New Roman" w:hAnsi="Times New Roman" w:cs="Times New Roman"/>
      <w:color w:val="0E101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5A2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5A29"/>
    <w:rPr>
      <w:rFonts w:ascii="Tahoma" w:hAnsi="Tahoma" w:cs="Tahoma"/>
      <w:sz w:val="16"/>
      <w:szCs w:val="16"/>
    </w:rPr>
  </w:style>
  <w:style w:type="paragraph" w:styleId="Bibliography">
    <w:name w:val="Bibliography"/>
    <w:basedOn w:val="Normal"/>
    <w:next w:val="Normal"/>
    <w:uiPriority w:val="37"/>
    <w:unhideWhenUsed/>
    <w:rsid w:val="00825B4E"/>
  </w:style>
  <w:style w:type="paragraph" w:styleId="Header">
    <w:name w:val="header"/>
    <w:basedOn w:val="Normal"/>
    <w:link w:val="HeaderChar"/>
    <w:uiPriority w:val="99"/>
    <w:unhideWhenUsed/>
    <w:rsid w:val="005D3F6E"/>
    <w:pPr>
      <w:tabs>
        <w:tab w:val="center" w:pos="4680"/>
        <w:tab w:val="right" w:pos="9360"/>
      </w:tabs>
      <w:spacing w:line="240" w:lineRule="auto"/>
    </w:pPr>
  </w:style>
  <w:style w:type="character" w:customStyle="1" w:styleId="HeaderChar">
    <w:name w:val="Header Char"/>
    <w:basedOn w:val="DefaultParagraphFont"/>
    <w:link w:val="Header"/>
    <w:uiPriority w:val="99"/>
    <w:rsid w:val="005D3F6E"/>
  </w:style>
  <w:style w:type="paragraph" w:styleId="Footer">
    <w:name w:val="footer"/>
    <w:basedOn w:val="Normal"/>
    <w:link w:val="FooterChar"/>
    <w:uiPriority w:val="99"/>
    <w:unhideWhenUsed/>
    <w:rsid w:val="005D3F6E"/>
    <w:pPr>
      <w:tabs>
        <w:tab w:val="center" w:pos="4680"/>
        <w:tab w:val="right" w:pos="9360"/>
      </w:tabs>
      <w:spacing w:line="240" w:lineRule="auto"/>
    </w:pPr>
  </w:style>
  <w:style w:type="character" w:customStyle="1" w:styleId="FooterChar">
    <w:name w:val="Footer Char"/>
    <w:basedOn w:val="DefaultParagraphFont"/>
    <w:link w:val="Footer"/>
    <w:uiPriority w:val="99"/>
    <w:rsid w:val="005D3F6E"/>
  </w:style>
  <w:style w:type="paragraph" w:styleId="NormalWeb">
    <w:name w:val="Normal (Web)"/>
    <w:basedOn w:val="Normal"/>
    <w:uiPriority w:val="99"/>
    <w:semiHidden/>
    <w:unhideWhenUsed/>
    <w:rsid w:val="002E0807"/>
    <w:pPr>
      <w:spacing w:before="100" w:beforeAutospacing="1" w:after="100" w:afterAutospacing="1" w:line="240" w:lineRule="auto"/>
    </w:pPr>
  </w:style>
  <w:style w:type="character" w:styleId="Emphasis">
    <w:name w:val="Emphasis"/>
    <w:basedOn w:val="DefaultParagraphFont"/>
    <w:uiPriority w:val="20"/>
    <w:qFormat/>
    <w:rsid w:val="002E0807"/>
    <w:rPr>
      <w:i/>
      <w:iCs/>
    </w:rPr>
  </w:style>
  <w:style w:type="character" w:styleId="Hyperlink">
    <w:name w:val="Hyperlink"/>
    <w:basedOn w:val="DefaultParagraphFont"/>
    <w:uiPriority w:val="99"/>
    <w:unhideWhenUsed/>
    <w:rsid w:val="00630168"/>
    <w:rPr>
      <w:color w:val="0000FF" w:themeColor="hyperlink"/>
      <w:u w:val="single"/>
    </w:rPr>
  </w:style>
  <w:style w:type="character" w:customStyle="1" w:styleId="UnresolvedMention">
    <w:name w:val="Unresolved Mention"/>
    <w:basedOn w:val="DefaultParagraphFont"/>
    <w:uiPriority w:val="99"/>
    <w:semiHidden/>
    <w:unhideWhenUsed/>
    <w:rsid w:val="00C32A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6509">
      <w:bodyDiv w:val="1"/>
      <w:marLeft w:val="0"/>
      <w:marRight w:val="0"/>
      <w:marTop w:val="0"/>
      <w:marBottom w:val="0"/>
      <w:divBdr>
        <w:top w:val="none" w:sz="0" w:space="0" w:color="auto"/>
        <w:left w:val="none" w:sz="0" w:space="0" w:color="auto"/>
        <w:bottom w:val="none" w:sz="0" w:space="0" w:color="auto"/>
        <w:right w:val="none" w:sz="0" w:space="0" w:color="auto"/>
      </w:divBdr>
    </w:div>
    <w:div w:id="128015417">
      <w:bodyDiv w:val="1"/>
      <w:marLeft w:val="0"/>
      <w:marRight w:val="0"/>
      <w:marTop w:val="0"/>
      <w:marBottom w:val="0"/>
      <w:divBdr>
        <w:top w:val="none" w:sz="0" w:space="0" w:color="auto"/>
        <w:left w:val="none" w:sz="0" w:space="0" w:color="auto"/>
        <w:bottom w:val="none" w:sz="0" w:space="0" w:color="auto"/>
        <w:right w:val="none" w:sz="0" w:space="0" w:color="auto"/>
      </w:divBdr>
    </w:div>
    <w:div w:id="1632010049">
      <w:bodyDiv w:val="1"/>
      <w:marLeft w:val="0"/>
      <w:marRight w:val="0"/>
      <w:marTop w:val="0"/>
      <w:marBottom w:val="0"/>
      <w:divBdr>
        <w:top w:val="none" w:sz="0" w:space="0" w:color="auto"/>
        <w:left w:val="none" w:sz="0" w:space="0" w:color="auto"/>
        <w:bottom w:val="none" w:sz="0" w:space="0" w:color="auto"/>
        <w:right w:val="none" w:sz="0" w:space="0" w:color="auto"/>
      </w:divBdr>
    </w:div>
    <w:div w:id="212087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inerals.usgs.gov/minerals/pubs/commodity/stone_crushed.%20Accessed%20July%202013"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Nic13</b:Tag>
    <b:SourceType>JournalArticle</b:SourceType>
    <b:Guid>{5C88D566-2D25-419F-A90D-BCCB3CB28295}</b:Guid>
    <b:Author>
      <b:Author>
        <b:NameList>
          <b:Person>
            <b:Last>Nicholas Santero</b:Last>
            <b:First>Alexander</b:First>
            <b:Middle>Loijos, and John Ochsendorf</b:Middle>
          </b:Person>
        </b:NameList>
      </b:Author>
    </b:Author>
    <b:Title>Greenhouse Gas Emissions Reduction opportunities for concrete pavements</b:Title>
    <b:City>NEW JERSEY</b:City>
    <b:Edition>7TH EDITION</b:Edition>
    <b:Year>2013</b:Year>
    <b:JournalName>Journal of industrial ecology</b:JournalName>
    <b:Pages>859-868</b:Pages>
    <b:RefOrder>1</b:RefOrder>
  </b:Source>
  <b:Source>
    <b:Tag>Mah17</b:Tag>
    <b:SourceType>JournalArticle</b:SourceType>
    <b:Guid>{29FCAFA4-BAF6-4CDA-8175-B000DA376EE4}</b:Guid>
    <b:Author>
      <b:Author>
        <b:NameList>
          <b:Person>
            <b:Last>Mahmure Övül Arıoğlu Akana</b:Last>
            <b:First>*</b:First>
            <b:Middle>• Dileep G. Dhavaleb • Joseph Sarkisc</b:Middle>
          </b:Person>
        </b:NameList>
      </b:Author>
    </b:Author>
    <b:Title>Greenhouse gas emissions in the construction industry: An analysis and evaluation of a concrete supply chain</b:Title>
    <b:JournalName>Journal of cleaner production</b:JournalName>
    <b:Year>2017</b:Year>
    <b:RefOrder>2</b:RefOrder>
  </b:Source>
  <b:Source>
    <b:Tag>Edg19</b:Tag>
    <b:SourceType>JournalArticle</b:SourceType>
    <b:Guid>{8F9311EB-2E62-4D12-A194-A9E53F5526E6}</b:Guid>
    <b:Author>
      <b:Author>
        <b:NameList>
          <b:Person>
            <b:Last>Edgar G Hertwich1</b:Last>
            <b:First>Saleem</b:First>
            <b:Middle>Ali2, Luca Ciacci3, Tomer Fishman1,4</b:Middle>
          </b:Person>
        </b:NameList>
      </b:Author>
    </b:Author>
    <b:Title>Material efficiency strategies to reducing greenhouse gas emissions associated with buildings, vehicles, and electronics</b:Title>
    <b:JournalName>Environmental Research Letters volume 14 number 4</b:JournalName>
    <b:Year>2019</b:Year>
    <b:RefOrder>3</b:RefOrder>
  </b:Source>
</b:Sources>
</file>

<file path=customXml/itemProps1.xml><?xml version="1.0" encoding="utf-8"?>
<ds:datastoreItem xmlns:ds="http://schemas.openxmlformats.org/officeDocument/2006/customXml" ds:itemID="{36A6EE2D-24C1-49DA-80A0-B21DF25C1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2020-06-06T09:50:00Z</dcterms:created>
  <dcterms:modified xsi:type="dcterms:W3CDTF">2020-06-06T09:50:00Z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-973175220</vt:i4>
  </property>
</Properties>
</file>